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6E" w:rsidRDefault="006A246E" w:rsidP="006A246E">
      <w:pPr>
        <w:spacing w:after="0"/>
        <w:jc w:val="center"/>
        <w:rPr>
          <w:rFonts w:ascii="Arial" w:hAnsi="Arial" w:cs="Arial"/>
          <w:b/>
          <w:sz w:val="24"/>
          <w:szCs w:val="24"/>
        </w:rPr>
      </w:pPr>
      <w:r>
        <w:rPr>
          <w:rFonts w:ascii="Arial" w:hAnsi="Arial" w:cs="Arial"/>
          <w:b/>
          <w:sz w:val="24"/>
          <w:szCs w:val="24"/>
        </w:rPr>
        <w:t>FACULTADES DE LA DIRECCIÓN DE OBRAS PÚBLICAS</w:t>
      </w:r>
    </w:p>
    <w:p w:rsidR="006A246E" w:rsidRPr="00B656A8" w:rsidRDefault="006A246E" w:rsidP="006A246E">
      <w:pPr>
        <w:spacing w:after="0"/>
        <w:rPr>
          <w:rFonts w:ascii="Arial" w:eastAsia="Arial Unicode MS" w:hAnsi="Arial" w:cs="Arial"/>
          <w:b/>
          <w:sz w:val="24"/>
          <w:szCs w:val="24"/>
        </w:rPr>
      </w:pPr>
    </w:p>
    <w:p w:rsidR="006A246E" w:rsidRDefault="006A246E" w:rsidP="006A246E">
      <w:pPr>
        <w:spacing w:after="0"/>
        <w:rPr>
          <w:rFonts w:ascii="Arial" w:eastAsia="Arial Unicode MS" w:hAnsi="Arial" w:cs="Arial"/>
          <w:b/>
          <w:sz w:val="24"/>
          <w:szCs w:val="24"/>
        </w:rPr>
      </w:pPr>
      <w:r>
        <w:rPr>
          <w:rFonts w:ascii="Arial" w:eastAsia="Arial Unicode MS" w:hAnsi="Arial" w:cs="Arial"/>
          <w:b/>
          <w:sz w:val="24"/>
          <w:szCs w:val="24"/>
        </w:rPr>
        <w:t xml:space="preserve">Marco normativo: </w:t>
      </w:r>
    </w:p>
    <w:p w:rsidR="006A246E" w:rsidRPr="00B656A8" w:rsidRDefault="006A246E" w:rsidP="006A246E">
      <w:pPr>
        <w:spacing w:after="0"/>
        <w:rPr>
          <w:rFonts w:ascii="Arial" w:eastAsia="Arial Unicode MS" w:hAnsi="Arial" w:cs="Arial"/>
          <w:b/>
          <w:sz w:val="24"/>
          <w:szCs w:val="24"/>
        </w:rPr>
      </w:pPr>
    </w:p>
    <w:tbl>
      <w:tblPr>
        <w:tblStyle w:val="Tablaconcuadrcula"/>
        <w:tblW w:w="5000" w:type="pct"/>
        <w:tblLayout w:type="fixed"/>
        <w:tblLook w:val="04A0" w:firstRow="1" w:lastRow="0" w:firstColumn="1" w:lastColumn="0" w:noHBand="0" w:noVBand="1"/>
      </w:tblPr>
      <w:tblGrid>
        <w:gridCol w:w="4391"/>
        <w:gridCol w:w="4437"/>
      </w:tblGrid>
      <w:tr w:rsidR="006A246E" w:rsidRPr="00B21EED" w:rsidTr="00367F07">
        <w:trPr>
          <w:trHeight w:val="102"/>
        </w:trPr>
        <w:tc>
          <w:tcPr>
            <w:tcW w:w="2487" w:type="pct"/>
            <w:noWrap/>
            <w:hideMark/>
          </w:tcPr>
          <w:p w:rsidR="006A246E" w:rsidRPr="00B21EED" w:rsidRDefault="006A246E" w:rsidP="00367F07">
            <w:pPr>
              <w:rPr>
                <w:rFonts w:ascii="Arial" w:eastAsia="Arial Unicode MS" w:hAnsi="Arial" w:cs="Arial"/>
                <w:sz w:val="24"/>
                <w:szCs w:val="24"/>
              </w:rPr>
            </w:pPr>
            <w:r>
              <w:rPr>
                <w:rFonts w:ascii="Arial" w:eastAsia="Arial Unicode MS" w:hAnsi="Arial" w:cs="Arial"/>
                <w:sz w:val="24"/>
                <w:szCs w:val="24"/>
              </w:rPr>
              <w:t>Ley Orgánica del Municipio Libre</w:t>
            </w:r>
            <w:r w:rsidRPr="00240993">
              <w:rPr>
                <w:rFonts w:ascii="Arial" w:eastAsia="Arial Unicode MS" w:hAnsi="Arial" w:cs="Arial"/>
                <w:sz w:val="24"/>
                <w:szCs w:val="24"/>
              </w:rPr>
              <w:t>.</w:t>
            </w:r>
          </w:p>
        </w:tc>
        <w:tc>
          <w:tcPr>
            <w:tcW w:w="2513" w:type="pct"/>
            <w:hideMark/>
          </w:tcPr>
          <w:p w:rsidR="006A246E" w:rsidRPr="00B21EED" w:rsidRDefault="006A246E" w:rsidP="00367F07">
            <w:pPr>
              <w:rPr>
                <w:rFonts w:ascii="Arial" w:eastAsia="Arial Unicode MS" w:hAnsi="Arial" w:cs="Arial"/>
                <w:sz w:val="24"/>
                <w:szCs w:val="24"/>
              </w:rPr>
            </w:pPr>
            <w:r>
              <w:rPr>
                <w:rFonts w:ascii="Arial" w:eastAsia="Arial Unicode MS" w:hAnsi="Arial" w:cs="Arial"/>
                <w:sz w:val="24"/>
                <w:szCs w:val="24"/>
              </w:rPr>
              <w:t>Artículo 73 ter.</w:t>
            </w:r>
          </w:p>
        </w:tc>
      </w:tr>
    </w:tbl>
    <w:p w:rsidR="006A246E" w:rsidRDefault="006A246E" w:rsidP="006A246E">
      <w:pPr>
        <w:spacing w:after="0"/>
        <w:rPr>
          <w:rFonts w:ascii="Arial" w:eastAsia="Arial Unicode MS" w:hAnsi="Arial" w:cs="Arial"/>
          <w:b/>
          <w:sz w:val="24"/>
          <w:szCs w:val="24"/>
        </w:rPr>
      </w:pPr>
    </w:p>
    <w:p w:rsidR="006A246E" w:rsidRDefault="006A246E" w:rsidP="006A246E">
      <w:pPr>
        <w:spacing w:after="0"/>
        <w:rPr>
          <w:rFonts w:ascii="Arial" w:eastAsia="Arial Unicode MS" w:hAnsi="Arial" w:cs="Arial"/>
          <w:b/>
          <w:sz w:val="24"/>
          <w:szCs w:val="24"/>
        </w:rPr>
      </w:pPr>
      <w:r>
        <w:rPr>
          <w:rFonts w:ascii="Arial" w:eastAsia="Arial Unicode MS" w:hAnsi="Arial" w:cs="Arial"/>
          <w:b/>
          <w:sz w:val="24"/>
          <w:szCs w:val="24"/>
        </w:rPr>
        <w:t>Facultades:</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Elaborar y proponer al Ayuntamiento, conforme al Plan Municipal de Desarrollo, los proyectos y presupuestos base de las obras a ejecutarse:</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La elaboración, dirección y ejecución de los programas destinados a la construcción de obras;</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Observar y vigilar el cumplimiento de las leyes, reglamentos y demás disposiciones correspondientes a la obra pública municipal;</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Supervisar la correcta ejecución de las obras por contrato y por administración directa;</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Rendir en tiempo y forma al Ayuntamiento, los informes de avances físicos de obras o proyectos, mediante bitácoras de obra;</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Al término de cada obra o acción, elaborar los finiquitos y expedientes unitarios, conforme a la documentación comprobatoria, según corresponda el origen del recurso;</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Presentar, al término de cada ejercicio fiscal, el cierre de ejercicio físico financiero de las obras ejecutadas y en proceso de ejecución o transferidas al ejercicio siguiente;</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Asistir a las visitas de inspección y auditorías que se practiquen a las obras o acciones ejecutadas o en proceso;</w:t>
      </w:r>
    </w:p>
    <w:p w:rsidR="006A246E" w:rsidRPr="00867328"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Autorizar con su firma las estimaciones, avances de cuenta mensual y toda documentación que le corresponda; y</w:t>
      </w:r>
    </w:p>
    <w:p w:rsidR="006A246E" w:rsidRDefault="006A246E" w:rsidP="006A246E">
      <w:pPr>
        <w:pStyle w:val="Prrafodelista"/>
        <w:numPr>
          <w:ilvl w:val="0"/>
          <w:numId w:val="1"/>
        </w:numPr>
        <w:tabs>
          <w:tab w:val="left" w:pos="1065"/>
        </w:tabs>
        <w:spacing w:after="0" w:line="240" w:lineRule="auto"/>
        <w:jc w:val="both"/>
        <w:rPr>
          <w:rFonts w:ascii="Arial" w:eastAsia="Arial Unicode MS" w:hAnsi="Arial" w:cs="Arial"/>
          <w:sz w:val="24"/>
          <w:szCs w:val="24"/>
        </w:rPr>
      </w:pPr>
      <w:r w:rsidRPr="00867328">
        <w:rPr>
          <w:rFonts w:ascii="Arial" w:eastAsia="Arial Unicode MS" w:hAnsi="Arial" w:cs="Arial"/>
          <w:sz w:val="24"/>
          <w:szCs w:val="24"/>
        </w:rPr>
        <w:t>Las demás que le otorguen esta ley y las leyes del Estado.</w:t>
      </w: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4C0B62" w:rsidRDefault="004C0B62" w:rsidP="006A246E">
      <w:pPr>
        <w:spacing w:after="0"/>
        <w:jc w:val="center"/>
        <w:rPr>
          <w:rFonts w:ascii="Arial" w:hAnsi="Arial" w:cs="Arial"/>
          <w:b/>
          <w:sz w:val="24"/>
          <w:szCs w:val="24"/>
        </w:rPr>
      </w:pPr>
    </w:p>
    <w:p w:rsidR="004C0B62" w:rsidRDefault="004C0B62" w:rsidP="006A246E">
      <w:pPr>
        <w:spacing w:after="0"/>
        <w:jc w:val="center"/>
        <w:rPr>
          <w:rFonts w:ascii="Arial" w:hAnsi="Arial" w:cs="Arial"/>
          <w:b/>
          <w:sz w:val="24"/>
          <w:szCs w:val="24"/>
        </w:rPr>
      </w:pPr>
    </w:p>
    <w:p w:rsidR="004C0B62" w:rsidRDefault="004C0B62" w:rsidP="006A246E">
      <w:pPr>
        <w:spacing w:after="0"/>
        <w:jc w:val="center"/>
        <w:rPr>
          <w:rFonts w:ascii="Arial" w:hAnsi="Arial" w:cs="Arial"/>
          <w:b/>
          <w:sz w:val="24"/>
          <w:szCs w:val="24"/>
        </w:rPr>
      </w:pPr>
    </w:p>
    <w:p w:rsidR="004C0B62" w:rsidRDefault="004C0B62" w:rsidP="006A246E">
      <w:pPr>
        <w:spacing w:after="0"/>
        <w:jc w:val="center"/>
        <w:rPr>
          <w:rFonts w:ascii="Arial" w:hAnsi="Arial" w:cs="Arial"/>
          <w:b/>
          <w:sz w:val="24"/>
          <w:szCs w:val="24"/>
        </w:rPr>
      </w:pPr>
    </w:p>
    <w:p w:rsidR="006A246E" w:rsidRPr="006A246E" w:rsidRDefault="006A246E" w:rsidP="006A246E">
      <w:pPr>
        <w:spacing w:after="0"/>
        <w:jc w:val="center"/>
        <w:rPr>
          <w:rFonts w:ascii="Arial" w:hAnsi="Arial" w:cs="Arial"/>
          <w:sz w:val="24"/>
          <w:szCs w:val="24"/>
        </w:rPr>
      </w:pPr>
      <w:r w:rsidRPr="006A246E">
        <w:rPr>
          <w:rFonts w:ascii="Arial" w:hAnsi="Arial" w:cs="Arial"/>
          <w:b/>
          <w:sz w:val="24"/>
          <w:szCs w:val="24"/>
        </w:rPr>
        <w:lastRenderedPageBreak/>
        <w:t>FACULTADES DE LA DIRECCIÓN DE COMUNICACIÓN SOCIAL</w:t>
      </w:r>
    </w:p>
    <w:p w:rsidR="006A246E" w:rsidRPr="006A246E" w:rsidRDefault="006A246E" w:rsidP="006A246E">
      <w:pPr>
        <w:spacing w:after="0"/>
        <w:rPr>
          <w:rFonts w:ascii="Arial" w:eastAsia="Arial Unicode MS" w:hAnsi="Arial" w:cs="Arial"/>
          <w:b/>
          <w:sz w:val="24"/>
          <w:szCs w:val="24"/>
        </w:rPr>
      </w:pPr>
    </w:p>
    <w:p w:rsidR="006A246E" w:rsidRPr="006A246E" w:rsidRDefault="006A246E" w:rsidP="006A246E">
      <w:pPr>
        <w:spacing w:after="0"/>
        <w:rPr>
          <w:rFonts w:ascii="Arial" w:eastAsia="Arial Unicode MS" w:hAnsi="Arial" w:cs="Arial"/>
          <w:b/>
          <w:sz w:val="24"/>
          <w:szCs w:val="24"/>
        </w:rPr>
      </w:pPr>
      <w:r w:rsidRPr="006A246E">
        <w:rPr>
          <w:rFonts w:ascii="Arial" w:eastAsia="Arial Unicode MS" w:hAnsi="Arial" w:cs="Arial"/>
          <w:b/>
          <w:sz w:val="24"/>
          <w:szCs w:val="24"/>
        </w:rPr>
        <w:t xml:space="preserve">Marco normativo: </w:t>
      </w:r>
    </w:p>
    <w:p w:rsidR="006A246E" w:rsidRPr="006A246E" w:rsidRDefault="006A246E" w:rsidP="006A246E">
      <w:pPr>
        <w:spacing w:after="0"/>
        <w:rPr>
          <w:rFonts w:ascii="Arial" w:eastAsia="Arial Unicode MS" w:hAnsi="Arial" w:cs="Arial"/>
          <w:b/>
          <w:sz w:val="24"/>
          <w:szCs w:val="24"/>
        </w:rPr>
      </w:pPr>
    </w:p>
    <w:tbl>
      <w:tblPr>
        <w:tblStyle w:val="Tablaconcuadrcula1"/>
        <w:tblW w:w="5120" w:type="pct"/>
        <w:tblInd w:w="-113" w:type="dxa"/>
        <w:tblLayout w:type="fixed"/>
        <w:tblLook w:val="04A0" w:firstRow="1" w:lastRow="0" w:firstColumn="1" w:lastColumn="0" w:noHBand="0" w:noVBand="1"/>
      </w:tblPr>
      <w:tblGrid>
        <w:gridCol w:w="4495"/>
        <w:gridCol w:w="4545"/>
      </w:tblGrid>
      <w:tr w:rsidR="006A246E" w:rsidRPr="006A246E" w:rsidTr="00367F07">
        <w:trPr>
          <w:trHeight w:val="102"/>
        </w:trPr>
        <w:tc>
          <w:tcPr>
            <w:tcW w:w="2486" w:type="pct"/>
            <w:noWrap/>
          </w:tcPr>
          <w:p w:rsidR="006A246E" w:rsidRPr="006A246E" w:rsidRDefault="006A246E" w:rsidP="006A246E">
            <w:pPr>
              <w:rPr>
                <w:rFonts w:ascii="Arial" w:eastAsia="Arial Unicode MS" w:hAnsi="Arial" w:cs="Arial"/>
                <w:sz w:val="24"/>
                <w:szCs w:val="24"/>
              </w:rPr>
            </w:pPr>
            <w:r w:rsidRPr="006A246E">
              <w:rPr>
                <w:rFonts w:ascii="Arial" w:eastAsia="Arial Unicode MS" w:hAnsi="Arial" w:cs="Arial"/>
                <w:sz w:val="24"/>
                <w:szCs w:val="24"/>
              </w:rPr>
              <w:t>Ley Orgánica del Municipio Libre.</w:t>
            </w:r>
          </w:p>
        </w:tc>
        <w:tc>
          <w:tcPr>
            <w:tcW w:w="2514" w:type="pct"/>
          </w:tcPr>
          <w:p w:rsidR="006A246E" w:rsidRPr="006A246E" w:rsidRDefault="006A246E" w:rsidP="006A246E">
            <w:pPr>
              <w:rPr>
                <w:rFonts w:ascii="Arial" w:eastAsia="Arial Unicode MS" w:hAnsi="Arial" w:cs="Arial"/>
                <w:sz w:val="24"/>
                <w:szCs w:val="24"/>
              </w:rPr>
            </w:pPr>
            <w:r w:rsidRPr="006A246E">
              <w:rPr>
                <w:rFonts w:ascii="Arial" w:eastAsia="Arial Unicode MS" w:hAnsi="Arial" w:cs="Arial"/>
                <w:sz w:val="24"/>
                <w:szCs w:val="24"/>
              </w:rPr>
              <w:t>Artículo 68.</w:t>
            </w:r>
          </w:p>
        </w:tc>
      </w:tr>
    </w:tbl>
    <w:p w:rsidR="006A246E" w:rsidRPr="006A246E" w:rsidRDefault="006A246E" w:rsidP="006A246E">
      <w:pPr>
        <w:spacing w:after="0"/>
        <w:rPr>
          <w:rFonts w:ascii="Arial" w:eastAsia="Arial Unicode MS" w:hAnsi="Arial" w:cs="Arial"/>
          <w:b/>
          <w:sz w:val="24"/>
          <w:szCs w:val="24"/>
        </w:rPr>
      </w:pPr>
    </w:p>
    <w:p w:rsidR="006A246E" w:rsidRPr="006A246E" w:rsidRDefault="006A246E" w:rsidP="006A246E">
      <w:pPr>
        <w:spacing w:after="0"/>
        <w:rPr>
          <w:rFonts w:ascii="Arial" w:eastAsia="Arial Unicode MS" w:hAnsi="Arial" w:cs="Arial"/>
          <w:b/>
          <w:sz w:val="24"/>
          <w:szCs w:val="24"/>
        </w:rPr>
      </w:pPr>
      <w:r w:rsidRPr="006A246E">
        <w:rPr>
          <w:rFonts w:ascii="Arial" w:eastAsia="Arial Unicode MS" w:hAnsi="Arial" w:cs="Arial"/>
          <w:b/>
          <w:sz w:val="24"/>
          <w:szCs w:val="24"/>
        </w:rPr>
        <w:t>Facultades:</w:t>
      </w:r>
    </w:p>
    <w:p w:rsidR="006A246E" w:rsidRPr="006A246E" w:rsidRDefault="006A246E" w:rsidP="006A246E">
      <w:pPr>
        <w:spacing w:after="0"/>
        <w:rPr>
          <w:rFonts w:ascii="Arial" w:eastAsia="Arial Unicode MS" w:hAnsi="Arial" w:cs="Arial"/>
          <w:b/>
          <w:sz w:val="24"/>
          <w:szCs w:val="24"/>
        </w:rPr>
      </w:pPr>
    </w:p>
    <w:p w:rsidR="006A246E" w:rsidRPr="006A246E" w:rsidRDefault="006A246E" w:rsidP="006A246E">
      <w:pPr>
        <w:numPr>
          <w:ilvl w:val="0"/>
          <w:numId w:val="2"/>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Promover la imagen corporativa del Municipio a través de estrategias de comunicaciones oportunas y veraces de carácter social, político económico y de penetración en la comunidad, con nuevo sentido dinámico, que estimule lazos de solidaridad, generen una actitud positiva y provoquen una mayor participación ciudadana.</w:t>
      </w:r>
    </w:p>
    <w:p w:rsidR="006A246E" w:rsidRPr="006A246E" w:rsidRDefault="006A246E" w:rsidP="006A246E">
      <w:pPr>
        <w:numPr>
          <w:ilvl w:val="0"/>
          <w:numId w:val="2"/>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Planear, organizar y dirigir acciones que den a conocer los servicios que brinda el Ayuntamiento.</w:t>
      </w:r>
    </w:p>
    <w:p w:rsidR="006A246E" w:rsidRPr="006A246E" w:rsidRDefault="006A246E" w:rsidP="006A246E">
      <w:pPr>
        <w:numPr>
          <w:ilvl w:val="0"/>
          <w:numId w:val="2"/>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Planear y coordinar el programa encaminado a difundir la información de las actividades y proyectos del Ayuntamiento.</w:t>
      </w:r>
    </w:p>
    <w:p w:rsidR="006A246E" w:rsidRPr="006A246E" w:rsidRDefault="006A246E" w:rsidP="006A246E">
      <w:pPr>
        <w:tabs>
          <w:tab w:val="left" w:pos="1065"/>
        </w:tabs>
        <w:spacing w:after="0" w:line="240" w:lineRule="auto"/>
        <w:rPr>
          <w:rFonts w:ascii="Arial" w:hAnsi="Arial" w:cs="Arial"/>
          <w:sz w:val="18"/>
          <w:szCs w:val="18"/>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4C0B62" w:rsidRDefault="004C0B62" w:rsidP="006A246E">
      <w:pPr>
        <w:spacing w:after="0"/>
        <w:rPr>
          <w:rFonts w:ascii="Arial" w:hAnsi="Arial" w:cs="Arial"/>
          <w:b/>
          <w:sz w:val="24"/>
          <w:szCs w:val="24"/>
        </w:rPr>
      </w:pPr>
    </w:p>
    <w:p w:rsidR="006A246E" w:rsidRPr="006A246E" w:rsidRDefault="006A246E" w:rsidP="006A246E">
      <w:pPr>
        <w:spacing w:after="0"/>
        <w:rPr>
          <w:rFonts w:ascii="Arial" w:hAnsi="Arial" w:cs="Arial"/>
          <w:b/>
          <w:sz w:val="24"/>
          <w:szCs w:val="24"/>
        </w:rPr>
      </w:pPr>
      <w:r w:rsidRPr="006A246E">
        <w:rPr>
          <w:rFonts w:ascii="Arial" w:hAnsi="Arial" w:cs="Arial"/>
          <w:b/>
          <w:sz w:val="24"/>
          <w:szCs w:val="24"/>
        </w:rPr>
        <w:lastRenderedPageBreak/>
        <w:t>FACULTADES DEL DEPARTAMENTO DE PSICOLOGÍA</w:t>
      </w:r>
    </w:p>
    <w:p w:rsidR="006A246E" w:rsidRPr="006A246E" w:rsidRDefault="006A246E" w:rsidP="006A246E">
      <w:pPr>
        <w:spacing w:after="0"/>
        <w:rPr>
          <w:rFonts w:ascii="Arial" w:eastAsia="Arial Unicode MS" w:hAnsi="Arial" w:cs="Arial"/>
          <w:b/>
          <w:sz w:val="24"/>
          <w:szCs w:val="24"/>
        </w:rPr>
      </w:pPr>
    </w:p>
    <w:p w:rsidR="006A246E" w:rsidRPr="006A246E" w:rsidRDefault="006A246E" w:rsidP="006A246E">
      <w:pPr>
        <w:spacing w:after="0"/>
        <w:rPr>
          <w:rFonts w:ascii="Arial" w:eastAsia="Arial Unicode MS" w:hAnsi="Arial" w:cs="Arial"/>
          <w:b/>
          <w:sz w:val="24"/>
          <w:szCs w:val="24"/>
        </w:rPr>
      </w:pPr>
      <w:r w:rsidRPr="006A246E">
        <w:rPr>
          <w:rFonts w:ascii="Arial" w:eastAsia="Arial Unicode MS" w:hAnsi="Arial" w:cs="Arial"/>
          <w:b/>
          <w:sz w:val="24"/>
          <w:szCs w:val="24"/>
        </w:rPr>
        <w:t xml:space="preserve">Marco normativo: </w:t>
      </w:r>
    </w:p>
    <w:p w:rsidR="006A246E" w:rsidRPr="006A246E" w:rsidRDefault="006A246E" w:rsidP="006A246E">
      <w:pPr>
        <w:spacing w:after="0"/>
        <w:rPr>
          <w:rFonts w:ascii="Arial" w:eastAsia="Arial Unicode MS" w:hAnsi="Arial" w:cs="Arial"/>
          <w:b/>
          <w:sz w:val="24"/>
          <w:szCs w:val="24"/>
        </w:rPr>
      </w:pPr>
    </w:p>
    <w:tbl>
      <w:tblPr>
        <w:tblStyle w:val="Tablaconcuadrcula2"/>
        <w:tblW w:w="5000" w:type="pct"/>
        <w:tblLayout w:type="fixed"/>
        <w:tblLook w:val="04A0" w:firstRow="1" w:lastRow="0" w:firstColumn="1" w:lastColumn="0" w:noHBand="0" w:noVBand="1"/>
      </w:tblPr>
      <w:tblGrid>
        <w:gridCol w:w="4391"/>
        <w:gridCol w:w="4437"/>
      </w:tblGrid>
      <w:tr w:rsidR="006A246E" w:rsidRPr="006A246E" w:rsidTr="00367F07">
        <w:trPr>
          <w:trHeight w:val="102"/>
        </w:trPr>
        <w:tc>
          <w:tcPr>
            <w:tcW w:w="2487" w:type="pct"/>
            <w:noWrap/>
          </w:tcPr>
          <w:p w:rsidR="006A246E" w:rsidRPr="006A246E" w:rsidRDefault="006A246E" w:rsidP="006A246E">
            <w:pPr>
              <w:rPr>
                <w:rFonts w:ascii="Arial" w:eastAsia="Arial Unicode MS" w:hAnsi="Arial" w:cs="Arial"/>
                <w:sz w:val="24"/>
                <w:szCs w:val="24"/>
              </w:rPr>
            </w:pPr>
            <w:r w:rsidRPr="006A246E">
              <w:rPr>
                <w:rFonts w:ascii="Arial" w:eastAsia="Arial Unicode MS" w:hAnsi="Arial" w:cs="Arial"/>
                <w:sz w:val="24"/>
                <w:szCs w:val="24"/>
              </w:rPr>
              <w:t>Ley de los Derechos de Niñas, Niños y Adolescentes para el Estado de Veracruz de Ignacio de la Llave.</w:t>
            </w:r>
          </w:p>
        </w:tc>
        <w:tc>
          <w:tcPr>
            <w:tcW w:w="2513" w:type="pct"/>
          </w:tcPr>
          <w:p w:rsidR="006A246E" w:rsidRPr="006A246E" w:rsidRDefault="006A246E" w:rsidP="006A246E">
            <w:pPr>
              <w:rPr>
                <w:rFonts w:ascii="Arial" w:eastAsia="Arial Unicode MS" w:hAnsi="Arial" w:cs="Arial"/>
                <w:sz w:val="24"/>
                <w:szCs w:val="24"/>
              </w:rPr>
            </w:pPr>
            <w:r w:rsidRPr="006A246E">
              <w:rPr>
                <w:rFonts w:ascii="Arial" w:eastAsia="Arial Unicode MS" w:hAnsi="Arial" w:cs="Arial"/>
                <w:sz w:val="24"/>
                <w:szCs w:val="24"/>
              </w:rPr>
              <w:t>Ley de los Derechos de Niñas, Niños y Adolescentes para el Estado de Veracruz de Ignacio de la Llave.</w:t>
            </w:r>
          </w:p>
        </w:tc>
      </w:tr>
    </w:tbl>
    <w:p w:rsidR="006A246E" w:rsidRPr="006A246E" w:rsidRDefault="006A246E" w:rsidP="006A246E">
      <w:pPr>
        <w:spacing w:after="0"/>
        <w:rPr>
          <w:rFonts w:ascii="Arial" w:eastAsia="Arial Unicode MS" w:hAnsi="Arial" w:cs="Arial"/>
          <w:b/>
          <w:sz w:val="24"/>
          <w:szCs w:val="24"/>
        </w:rPr>
      </w:pPr>
    </w:p>
    <w:p w:rsidR="006A246E" w:rsidRPr="006A246E" w:rsidRDefault="006A246E" w:rsidP="006A246E">
      <w:pPr>
        <w:spacing w:after="0"/>
        <w:rPr>
          <w:rFonts w:ascii="Arial" w:eastAsia="Arial Unicode MS" w:hAnsi="Arial" w:cs="Arial"/>
          <w:b/>
          <w:sz w:val="24"/>
          <w:szCs w:val="24"/>
        </w:rPr>
      </w:pPr>
      <w:r w:rsidRPr="006A246E">
        <w:rPr>
          <w:rFonts w:ascii="Arial" w:eastAsia="Arial Unicode MS" w:hAnsi="Arial" w:cs="Arial"/>
          <w:b/>
          <w:sz w:val="24"/>
          <w:szCs w:val="24"/>
        </w:rPr>
        <w:t>Facultades:</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Ofrecer terapia psicológica.</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Administrar y resguardar los expedientes de las y los pacientes.</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Brindar asesoría y atención a víctimas de delito.</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Rendir los informes mensuales al Sistema Municipal DIF.</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Rendir los informes que solicité la Fiscalía Especializada en la Investigación de Delitos contra la Familia, Mujer, Niños y Trata de Personas de la Unidad Integral de Procuración de Justicia del XIII Distrito Judicial de Huatusco.</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 xml:space="preserve">Brindar apoyo al Instituto Municipal de las Mujeres de Zentla para coadyuvar al desarrollo de las mujeres </w:t>
      </w:r>
      <w:proofErr w:type="spellStart"/>
      <w:r w:rsidRPr="006A246E">
        <w:rPr>
          <w:rFonts w:ascii="Arial" w:eastAsia="Arial Unicode MS" w:hAnsi="Arial" w:cs="Arial"/>
          <w:sz w:val="24"/>
          <w:szCs w:val="24"/>
        </w:rPr>
        <w:t>zentecas</w:t>
      </w:r>
      <w:proofErr w:type="spellEnd"/>
      <w:r w:rsidRPr="006A246E">
        <w:rPr>
          <w:rFonts w:ascii="Arial" w:eastAsia="Arial Unicode MS" w:hAnsi="Arial" w:cs="Arial"/>
          <w:sz w:val="24"/>
          <w:szCs w:val="24"/>
        </w:rPr>
        <w:t>.</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 xml:space="preserve">Trabajar en coordinación con la Procuraduría Municipal de Protección de Niñas, Niños y Adolescentes para coadyuvar en el desarrollo pleno de la niñez y la adolescencia </w:t>
      </w:r>
      <w:proofErr w:type="spellStart"/>
      <w:r w:rsidRPr="006A246E">
        <w:rPr>
          <w:rFonts w:ascii="Arial" w:eastAsia="Arial Unicode MS" w:hAnsi="Arial" w:cs="Arial"/>
          <w:sz w:val="24"/>
          <w:szCs w:val="24"/>
        </w:rPr>
        <w:t>zenteca</w:t>
      </w:r>
      <w:proofErr w:type="spellEnd"/>
      <w:r w:rsidRPr="006A246E">
        <w:rPr>
          <w:rFonts w:ascii="Arial" w:eastAsia="Arial Unicode MS" w:hAnsi="Arial" w:cs="Arial"/>
          <w:sz w:val="24"/>
          <w:szCs w:val="24"/>
        </w:rPr>
        <w:t>.</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Aplicación de exámenes psicométricos.</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Realizar las visitas domiciliarias a las que haya lugar.</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Dar capacitación a las agrupaciones e instituciones que así lo requieran mediante el Programa Anual de Pláticas y Talleres.</w:t>
      </w:r>
    </w:p>
    <w:p w:rsidR="006A246E" w:rsidRPr="006A246E" w:rsidRDefault="006A246E" w:rsidP="006A246E">
      <w:pPr>
        <w:numPr>
          <w:ilvl w:val="0"/>
          <w:numId w:val="3"/>
        </w:numPr>
        <w:tabs>
          <w:tab w:val="left" w:pos="1065"/>
        </w:tabs>
        <w:spacing w:after="0" w:line="240" w:lineRule="auto"/>
        <w:contextualSpacing/>
        <w:jc w:val="both"/>
        <w:rPr>
          <w:rFonts w:ascii="Arial" w:eastAsia="Arial Unicode MS" w:hAnsi="Arial" w:cs="Arial"/>
          <w:sz w:val="24"/>
          <w:szCs w:val="24"/>
        </w:rPr>
      </w:pPr>
      <w:r w:rsidRPr="006A246E">
        <w:rPr>
          <w:rFonts w:ascii="Arial" w:eastAsia="Arial Unicode MS" w:hAnsi="Arial" w:cs="Arial"/>
          <w:sz w:val="24"/>
          <w:szCs w:val="24"/>
        </w:rPr>
        <w:t>Las demás que le encomiende la Junta de Gobierno del Sistema Municipal del DIF.</w:t>
      </w: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6A246E" w:rsidRDefault="006A246E" w:rsidP="006A246E">
      <w:pPr>
        <w:tabs>
          <w:tab w:val="left" w:pos="1065"/>
        </w:tabs>
        <w:spacing w:after="0" w:line="240" w:lineRule="auto"/>
        <w:jc w:val="both"/>
        <w:rPr>
          <w:rFonts w:ascii="Arial" w:eastAsia="Arial Unicode MS" w:hAnsi="Arial" w:cs="Arial"/>
          <w:sz w:val="24"/>
          <w:szCs w:val="24"/>
        </w:rPr>
      </w:pPr>
    </w:p>
    <w:p w:rsidR="00CB499B" w:rsidRPr="00CB499B" w:rsidRDefault="00CB499B" w:rsidP="00CB499B">
      <w:pPr>
        <w:spacing w:after="0"/>
        <w:jc w:val="center"/>
        <w:rPr>
          <w:rFonts w:ascii="Arial" w:hAnsi="Arial" w:cs="Arial"/>
          <w:b/>
          <w:sz w:val="24"/>
          <w:szCs w:val="24"/>
        </w:rPr>
      </w:pPr>
      <w:r w:rsidRPr="00CB499B">
        <w:rPr>
          <w:rFonts w:ascii="Arial" w:hAnsi="Arial" w:cs="Arial"/>
          <w:b/>
          <w:sz w:val="24"/>
          <w:szCs w:val="24"/>
        </w:rPr>
        <w:lastRenderedPageBreak/>
        <w:t>FACULTADES DE LA DIRECCIÓN DE FOMENTO AGROPECUARIO</w:t>
      </w:r>
    </w:p>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 xml:space="preserve">Marco normativo: </w:t>
      </w:r>
    </w:p>
    <w:p w:rsidR="00CB499B" w:rsidRPr="00CB499B" w:rsidRDefault="00CB499B" w:rsidP="00CB499B">
      <w:pPr>
        <w:spacing w:after="0"/>
        <w:rPr>
          <w:rFonts w:ascii="Arial" w:eastAsia="Arial Unicode MS" w:hAnsi="Arial" w:cs="Arial"/>
          <w:b/>
          <w:sz w:val="24"/>
          <w:szCs w:val="24"/>
        </w:rPr>
      </w:pPr>
    </w:p>
    <w:tbl>
      <w:tblPr>
        <w:tblStyle w:val="Tablaconcuadrcula3"/>
        <w:tblW w:w="5000" w:type="pct"/>
        <w:tblLayout w:type="fixed"/>
        <w:tblLook w:val="04A0" w:firstRow="1" w:lastRow="0" w:firstColumn="1" w:lastColumn="0" w:noHBand="0" w:noVBand="1"/>
      </w:tblPr>
      <w:tblGrid>
        <w:gridCol w:w="4391"/>
        <w:gridCol w:w="4437"/>
      </w:tblGrid>
      <w:tr w:rsidR="00CB499B" w:rsidRPr="00CB499B" w:rsidTr="00367F07">
        <w:trPr>
          <w:trHeight w:val="102"/>
        </w:trPr>
        <w:tc>
          <w:tcPr>
            <w:tcW w:w="2487" w:type="pct"/>
            <w:noWrap/>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Ley Orgánica del Municipio Libre.</w:t>
            </w:r>
          </w:p>
        </w:tc>
        <w:tc>
          <w:tcPr>
            <w:tcW w:w="2513" w:type="pct"/>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 xml:space="preserve">Artículo 73 </w:t>
            </w:r>
            <w:proofErr w:type="spellStart"/>
            <w:r w:rsidRPr="00CB499B">
              <w:rPr>
                <w:rFonts w:ascii="Arial" w:eastAsia="Arial Unicode MS" w:hAnsi="Arial" w:cs="Arial"/>
                <w:sz w:val="24"/>
                <w:szCs w:val="24"/>
              </w:rPr>
              <w:t>novodecies</w:t>
            </w:r>
            <w:proofErr w:type="spellEnd"/>
            <w:r w:rsidRPr="00CB499B">
              <w:rPr>
                <w:rFonts w:ascii="Arial" w:eastAsia="Arial Unicode MS" w:hAnsi="Arial" w:cs="Arial"/>
                <w:sz w:val="24"/>
                <w:szCs w:val="24"/>
              </w:rPr>
              <w:t>.</w:t>
            </w:r>
          </w:p>
        </w:tc>
      </w:tr>
    </w:tbl>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Facultades:</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Observar y vigilar el cumplimiento de las leyes, reglamentos y demás disposiciones en materia de tierra, bosques y agua;</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Fomentar y asesorar el desarrollo de actividades agrícolas, forestales, ganaderas y acuícolas, promoviendo el adecuado aprovechamiento de los recursos renovables, así como la óptima utilización de los avances tecnológicos;</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Promover la protección, restauración y el aprovechamiento sustentable de los recursos naturales;</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Promover la organización de los productores, para la capacitación, transformación, producción y comercialización de los productos;</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Proponer esquemas de comercialización y financiamiento para los productores del municipio;</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Colaborar en la promoción, organización, difusión y ejecución de esquemas de distribución de insumos, tales como tianguis y ferias agropecuarias, para lograr que la población tenga acceso a productos del campo a precios accesibles y un mayor desarrollo de la industria agropecuaria;</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Diseñar proyectos agroindustriales que permitan mejorar las condiciones de comercialización de los productos agropecuarios para acortar la cadena de comercialización;</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Proponer la celebración de acuerdos y convenios en materia forestal con la Federación y el Estado y, de manera especial, en materia de deforestación y tala clandestina de bosques;</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Gestionar, ante la Federación y el Estado, la asignación de recursos al municipio para actividades agropecuarias;</w:t>
      </w:r>
    </w:p>
    <w:p w:rsidR="00CB499B" w:rsidRP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Coadyuvar, en el ámbito de su competencia, a implementar las medidas administrativas y de control a que deba sujetarse la actividad agropecuaria; y</w:t>
      </w:r>
    </w:p>
    <w:p w:rsidR="00CB499B" w:rsidRDefault="00CB499B" w:rsidP="00CB499B">
      <w:pPr>
        <w:numPr>
          <w:ilvl w:val="0"/>
          <w:numId w:val="4"/>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Las demás que le otorguen esta Ley (Ley Orgánica del Municipio Libre) y demás leyes aplicables del Estado (de Veracruz).</w:t>
      </w:r>
    </w:p>
    <w:p w:rsidR="00CB499B" w:rsidRDefault="00CB499B" w:rsidP="00CB499B">
      <w:pPr>
        <w:tabs>
          <w:tab w:val="left" w:pos="1065"/>
        </w:tabs>
        <w:spacing w:after="0" w:line="240" w:lineRule="auto"/>
        <w:contextualSpacing/>
        <w:jc w:val="both"/>
        <w:rPr>
          <w:rFonts w:ascii="Arial" w:eastAsia="Arial Unicode MS" w:hAnsi="Arial" w:cs="Arial"/>
          <w:sz w:val="24"/>
          <w:szCs w:val="24"/>
        </w:rPr>
      </w:pPr>
    </w:p>
    <w:p w:rsidR="00CB499B" w:rsidRDefault="00CB499B" w:rsidP="00CB499B">
      <w:pPr>
        <w:tabs>
          <w:tab w:val="left" w:pos="1065"/>
        </w:tabs>
        <w:spacing w:after="0" w:line="240" w:lineRule="auto"/>
        <w:contextualSpacing/>
        <w:jc w:val="both"/>
        <w:rPr>
          <w:rFonts w:ascii="Arial" w:eastAsia="Arial Unicode MS" w:hAnsi="Arial" w:cs="Arial"/>
          <w:sz w:val="24"/>
          <w:szCs w:val="24"/>
        </w:rPr>
      </w:pPr>
    </w:p>
    <w:p w:rsidR="00CB499B" w:rsidRDefault="00CB499B" w:rsidP="00CB499B">
      <w:pPr>
        <w:tabs>
          <w:tab w:val="left" w:pos="1065"/>
        </w:tabs>
        <w:spacing w:after="0" w:line="240" w:lineRule="auto"/>
        <w:contextualSpacing/>
        <w:jc w:val="both"/>
        <w:rPr>
          <w:rFonts w:ascii="Arial" w:eastAsia="Arial Unicode MS" w:hAnsi="Arial" w:cs="Arial"/>
          <w:sz w:val="24"/>
          <w:szCs w:val="24"/>
        </w:rPr>
      </w:pPr>
    </w:p>
    <w:p w:rsidR="00CB499B" w:rsidRPr="00CB499B" w:rsidRDefault="00CB499B" w:rsidP="00CB499B">
      <w:pPr>
        <w:tabs>
          <w:tab w:val="left" w:pos="1065"/>
        </w:tabs>
        <w:spacing w:after="0" w:line="240" w:lineRule="auto"/>
        <w:contextualSpacing/>
        <w:jc w:val="both"/>
        <w:rPr>
          <w:rFonts w:ascii="Arial" w:eastAsia="Arial Unicode MS" w:hAnsi="Arial" w:cs="Arial"/>
          <w:sz w:val="24"/>
          <w:szCs w:val="24"/>
        </w:rPr>
      </w:pPr>
    </w:p>
    <w:p w:rsidR="00CB499B" w:rsidRPr="00CB499B" w:rsidRDefault="00CB499B" w:rsidP="00CB499B">
      <w:pPr>
        <w:spacing w:after="0"/>
        <w:jc w:val="center"/>
        <w:rPr>
          <w:rFonts w:ascii="Arial" w:hAnsi="Arial" w:cs="Arial"/>
          <w:b/>
          <w:sz w:val="24"/>
          <w:szCs w:val="24"/>
        </w:rPr>
      </w:pPr>
      <w:r w:rsidRPr="00CB499B">
        <w:rPr>
          <w:rFonts w:ascii="Arial" w:hAnsi="Arial" w:cs="Arial"/>
          <w:b/>
          <w:sz w:val="24"/>
          <w:szCs w:val="24"/>
        </w:rPr>
        <w:t xml:space="preserve">FACULTADES DE SEGURIDAD PÚBLICA </w:t>
      </w:r>
    </w:p>
    <w:p w:rsidR="00CB499B" w:rsidRPr="00CB499B" w:rsidRDefault="00CB499B" w:rsidP="00CB499B">
      <w:pPr>
        <w:spacing w:after="0"/>
        <w:jc w:val="center"/>
        <w:rPr>
          <w:rFonts w:ascii="Arial" w:hAnsi="Arial" w:cs="Arial"/>
          <w:b/>
          <w:sz w:val="24"/>
          <w:szCs w:val="24"/>
        </w:rPr>
      </w:pPr>
      <w:r w:rsidRPr="00CB499B">
        <w:rPr>
          <w:rFonts w:ascii="Arial" w:hAnsi="Arial" w:cs="Arial"/>
          <w:b/>
          <w:sz w:val="24"/>
          <w:szCs w:val="24"/>
        </w:rPr>
        <w:t>(POLICÍA MUNICIPAL PREVENTIVA)</w:t>
      </w:r>
    </w:p>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 xml:space="preserve">Marco normativo: </w:t>
      </w:r>
    </w:p>
    <w:p w:rsidR="00CB499B" w:rsidRPr="00CB499B" w:rsidRDefault="00CB499B" w:rsidP="00CB499B">
      <w:pPr>
        <w:spacing w:after="0"/>
        <w:rPr>
          <w:rFonts w:ascii="Arial" w:eastAsia="Arial Unicode MS" w:hAnsi="Arial" w:cs="Arial"/>
          <w:b/>
          <w:sz w:val="24"/>
          <w:szCs w:val="24"/>
        </w:rPr>
      </w:pPr>
    </w:p>
    <w:tbl>
      <w:tblPr>
        <w:tblStyle w:val="Tablaconcuadrcula4"/>
        <w:tblW w:w="5000" w:type="pct"/>
        <w:tblLayout w:type="fixed"/>
        <w:tblLook w:val="04A0" w:firstRow="1" w:lastRow="0" w:firstColumn="1" w:lastColumn="0" w:noHBand="0" w:noVBand="1"/>
      </w:tblPr>
      <w:tblGrid>
        <w:gridCol w:w="4391"/>
        <w:gridCol w:w="4437"/>
      </w:tblGrid>
      <w:tr w:rsidR="00CB499B" w:rsidRPr="00CB499B" w:rsidTr="00367F07">
        <w:trPr>
          <w:trHeight w:val="102"/>
        </w:trPr>
        <w:tc>
          <w:tcPr>
            <w:tcW w:w="2487" w:type="pct"/>
            <w:noWrap/>
            <w:hideMark/>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Reglamento de la Policía Preventiva de Seguridad Pública del Estado de Veracruz de Ignacio de la Llave.</w:t>
            </w:r>
          </w:p>
        </w:tc>
        <w:tc>
          <w:tcPr>
            <w:tcW w:w="2513" w:type="pct"/>
            <w:hideMark/>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Artículo 15.</w:t>
            </w:r>
          </w:p>
        </w:tc>
      </w:tr>
    </w:tbl>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Facultades:</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Prevenir la comisión de delitos y faltas administrativas que determinen las leyes federales, estatales, municipales y los bandos de policía y gobierno;</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Garantizar, mantener y restablecer el orden y la paz públicos;</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Salvaguardar la integridad de las personas así como sus bienes;</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 xml:space="preserve">Detener a las personas que sorprenda en delito flagrante respetando sus garantías constitucionales, poniéndolas sin demora a disposición de la autoridad competente, en especial, tratándose de los adolescentes contemplados en la Ley de Responsabilidad Juvenil para el Estado, quienes no podrán ser recluidos en lugares destinados para los adultos; </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 xml:space="preserve">Auxiliar dentro del marco legal, a los Agentes de Ministerio Público, Jueces y demás autoridades jurisdiccionales y administrativas, siempre que sea requerida para ello; </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 xml:space="preserve">Proporcionar a la ciudadanía, el auxilio necesario en caso de siniestro o accidente; </w:t>
      </w:r>
    </w:p>
    <w:p w:rsidR="00CB499B" w:rsidRPr="00CB499B" w:rsidRDefault="00CB499B" w:rsidP="00CB499B">
      <w:pPr>
        <w:numPr>
          <w:ilvl w:val="0"/>
          <w:numId w:val="5"/>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Las demás que le confiera el presente Reglamento y disposiciones legales aplicables;</w:t>
      </w:r>
    </w:p>
    <w:p w:rsidR="006A246E" w:rsidRDefault="006A246E"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Pr="00CB499B" w:rsidRDefault="00CB499B" w:rsidP="00CB499B">
      <w:pPr>
        <w:spacing w:after="0"/>
        <w:jc w:val="center"/>
        <w:rPr>
          <w:rFonts w:ascii="Arial" w:hAnsi="Arial" w:cs="Arial"/>
          <w:b/>
          <w:sz w:val="24"/>
          <w:szCs w:val="24"/>
        </w:rPr>
      </w:pPr>
      <w:r w:rsidRPr="00CB499B">
        <w:rPr>
          <w:rFonts w:ascii="Arial" w:hAnsi="Arial" w:cs="Arial"/>
          <w:b/>
          <w:sz w:val="24"/>
          <w:szCs w:val="24"/>
        </w:rPr>
        <w:t>FACULTADES DE LA DIRECCIÓN DE PROTECCIÓN CIVIL</w:t>
      </w:r>
    </w:p>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 xml:space="preserve">Marco normativo: </w:t>
      </w:r>
    </w:p>
    <w:p w:rsidR="00CB499B" w:rsidRPr="00CB499B" w:rsidRDefault="00CB499B" w:rsidP="00CB499B">
      <w:pPr>
        <w:spacing w:after="0"/>
        <w:rPr>
          <w:rFonts w:ascii="Arial" w:eastAsia="Arial Unicode MS" w:hAnsi="Arial" w:cs="Arial"/>
          <w:b/>
          <w:sz w:val="24"/>
          <w:szCs w:val="24"/>
        </w:rPr>
      </w:pPr>
    </w:p>
    <w:tbl>
      <w:tblPr>
        <w:tblStyle w:val="Tablaconcuadrcula5"/>
        <w:tblW w:w="5000" w:type="pct"/>
        <w:tblLayout w:type="fixed"/>
        <w:tblLook w:val="04A0" w:firstRow="1" w:lastRow="0" w:firstColumn="1" w:lastColumn="0" w:noHBand="0" w:noVBand="1"/>
      </w:tblPr>
      <w:tblGrid>
        <w:gridCol w:w="4391"/>
        <w:gridCol w:w="4437"/>
      </w:tblGrid>
      <w:tr w:rsidR="00CB499B" w:rsidRPr="00CB499B" w:rsidTr="00367F07">
        <w:trPr>
          <w:trHeight w:val="102"/>
        </w:trPr>
        <w:tc>
          <w:tcPr>
            <w:tcW w:w="2487" w:type="pct"/>
            <w:noWrap/>
            <w:hideMark/>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Ley de Protección Civil y la Reducción del Riesgo de Desastres para el Estado de Veracruz.</w:t>
            </w:r>
          </w:p>
        </w:tc>
        <w:tc>
          <w:tcPr>
            <w:tcW w:w="2513" w:type="pct"/>
            <w:hideMark/>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Artículo 47.</w:t>
            </w:r>
          </w:p>
        </w:tc>
      </w:tr>
    </w:tbl>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Facultades: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y presentar al Consejo Municipal, para su aprobación, el Programa Municipal en materia de protección civil y la reducción del riesgo de desastres, teniendo como plazo específico de entrega para su aprobación el último día hábil del mes de abril, debiendo evaluarse en la primera semana de enero de los años subsecuentes;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 xml:space="preserve">Impulsar la creación de unidades y programas internos, tener a cargo su registro e informar al Consejo Municipal de la situación que guarden. En todos los casos deberá remitir copia de las actas de constitución y de los programas internos a la Secretaría; </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Mantener la actualización constante del Atlas Municipal de Riesgos y promover la elaboración de Mapas Comunitarios de Riesgos;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Investigar y evaluar peligros y vulnerabilidades y, en consecuencia, los riesgos ante los fenómenos perturbadores que afecten al municipio;</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Colaborar con las autoridades que normen, regulen, limiten o prohíban la ocupación de las zonas de riesgo;</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un registro de empresas con actividades de riesgo en el municipio. Cada seis meses deberá informar a la Secretaría de las actualizaciones correspondientes;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Asegurar la operación del Sistema de Alerta Temprana en el municipio;</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Definir un Plan de Acción para casos de emergencia y ponerlo a consideración del Consejo Municipal;</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Identificar y coordinar con las diferentes autoridades la operación de los refugios temporales y albergues en casos de emergencia o desastre;</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la evaluación de daños y análisis de necesidades, derivados del impacto de fenómenos perturbadores, y remitir a la Secretaría sus resultados;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 xml:space="preserve">Tener a su cargo el registro, gestionar asesoría y capacitación, así como coordinar la participación de grupos voluntarios, brigadistas, comités locales de ayuda mutua, organizaciones civiles, grupos voluntarios y corporaciones </w:t>
      </w:r>
      <w:r w:rsidRPr="00CB499B">
        <w:rPr>
          <w:rFonts w:ascii="Arial" w:eastAsia="Arial Unicode MS" w:hAnsi="Arial" w:cs="Arial"/>
          <w:sz w:val="24"/>
          <w:szCs w:val="24"/>
        </w:rPr>
        <w:lastRenderedPageBreak/>
        <w:t>de bomberos, entre otros, en la preparación y atención  emergencias y la continuidad de operaciones;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Llevar a cabo, en coordinación con la Secretaría, la realización de cursos, ejercicios y simulacros que permitan mejorar la capacidad de respuesta de la sociedad ante la presencia de agentes perturbadores;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Realizar visitas de verificación y de supervisión técnica, y emitir dictámenes técnicos a las empresas, instituciones, organismos y asociaciones privadas y del sector social considerados de bajo riesgo, así como pliegos de recomendaciones en aquellos de riesgo medio de acuerdo con la clasificación que establezcan el Reglamento de la presente Ley, las Normas Oficiales Mexicanas y los Tratados Internacionales aplicables;</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Participar y promover el establecimiento de políticas y medidas de adaptación al cambio climático; y</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 xml:space="preserve">Difundir en la plataforma virtual del municipio o a través de cualquier medio electrónico, o medios de comunicación masivos de cada comunidad del municipio, el contenido de los programas de protección civil que sean autorizados por el Consejo Municipal; los cuales deberán ser remitidos a la Secretaría de Protección Civil en un término no mayor de 15 días posteriores a su aprobación por parte del Consejo Municipal, a fin de que dicha Secretaría conozca el contenido de estos y en su caso, en su aplicación, los vincule con los programas estatales; y </w:t>
      </w:r>
    </w:p>
    <w:p w:rsidR="00CB499B" w:rsidRPr="00CB499B" w:rsidRDefault="00CB499B" w:rsidP="00CB499B">
      <w:pPr>
        <w:numPr>
          <w:ilvl w:val="0"/>
          <w:numId w:val="6"/>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Las demás que señalen esta Ley y otras disposiciones legales aplicables y las que le precise el Consejo Municipal.</w:t>
      </w: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Default="00CB499B" w:rsidP="006A246E">
      <w:pPr>
        <w:tabs>
          <w:tab w:val="left" w:pos="1065"/>
        </w:tabs>
        <w:spacing w:after="0" w:line="240" w:lineRule="auto"/>
        <w:jc w:val="both"/>
        <w:rPr>
          <w:rFonts w:ascii="Arial" w:eastAsia="Arial Unicode MS" w:hAnsi="Arial" w:cs="Arial"/>
          <w:sz w:val="24"/>
          <w:szCs w:val="24"/>
        </w:rPr>
      </w:pPr>
    </w:p>
    <w:p w:rsidR="00CB499B" w:rsidRPr="00CB499B" w:rsidRDefault="00CB499B" w:rsidP="00CB499B">
      <w:pPr>
        <w:spacing w:after="0"/>
        <w:jc w:val="center"/>
        <w:rPr>
          <w:rFonts w:ascii="Arial" w:hAnsi="Arial" w:cs="Arial"/>
          <w:b/>
          <w:sz w:val="24"/>
          <w:szCs w:val="24"/>
        </w:rPr>
      </w:pPr>
      <w:r w:rsidRPr="00CB499B">
        <w:rPr>
          <w:rFonts w:ascii="Arial" w:hAnsi="Arial" w:cs="Arial"/>
          <w:b/>
          <w:sz w:val="24"/>
          <w:szCs w:val="24"/>
        </w:rPr>
        <w:t>FACULTADES DE SERVICIOS INFORMÁTICOS</w:t>
      </w:r>
    </w:p>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 xml:space="preserve">Marco normativo: </w:t>
      </w:r>
    </w:p>
    <w:p w:rsidR="00CB499B" w:rsidRPr="00CB499B" w:rsidRDefault="00CB499B" w:rsidP="00CB499B">
      <w:pPr>
        <w:spacing w:after="0"/>
        <w:rPr>
          <w:rFonts w:ascii="Arial" w:eastAsia="Arial Unicode MS" w:hAnsi="Arial" w:cs="Arial"/>
          <w:b/>
          <w:sz w:val="24"/>
          <w:szCs w:val="24"/>
        </w:rPr>
      </w:pPr>
    </w:p>
    <w:tbl>
      <w:tblPr>
        <w:tblStyle w:val="Tablaconcuadrcula6"/>
        <w:tblW w:w="5000" w:type="pct"/>
        <w:tblLayout w:type="fixed"/>
        <w:tblLook w:val="04A0" w:firstRow="1" w:lastRow="0" w:firstColumn="1" w:lastColumn="0" w:noHBand="0" w:noVBand="1"/>
      </w:tblPr>
      <w:tblGrid>
        <w:gridCol w:w="4391"/>
        <w:gridCol w:w="4437"/>
      </w:tblGrid>
      <w:tr w:rsidR="00CB499B" w:rsidRPr="00CB499B" w:rsidTr="00367F07">
        <w:trPr>
          <w:trHeight w:val="102"/>
        </w:trPr>
        <w:tc>
          <w:tcPr>
            <w:tcW w:w="2487" w:type="pct"/>
            <w:noWrap/>
            <w:hideMark/>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Ley Orgánica del Municipio Libre.</w:t>
            </w:r>
          </w:p>
        </w:tc>
        <w:tc>
          <w:tcPr>
            <w:tcW w:w="2513" w:type="pct"/>
            <w:hideMark/>
          </w:tcPr>
          <w:p w:rsidR="00CB499B" w:rsidRPr="00CB499B" w:rsidRDefault="00CB499B" w:rsidP="00CB499B">
            <w:pPr>
              <w:rPr>
                <w:rFonts w:ascii="Arial" w:eastAsia="Arial Unicode MS" w:hAnsi="Arial" w:cs="Arial"/>
                <w:sz w:val="24"/>
                <w:szCs w:val="24"/>
              </w:rPr>
            </w:pPr>
            <w:r w:rsidRPr="00CB499B">
              <w:rPr>
                <w:rFonts w:ascii="Arial" w:eastAsia="Arial Unicode MS" w:hAnsi="Arial" w:cs="Arial"/>
                <w:sz w:val="24"/>
                <w:szCs w:val="24"/>
              </w:rPr>
              <w:t>Artículo 68.</w:t>
            </w:r>
          </w:p>
        </w:tc>
      </w:tr>
    </w:tbl>
    <w:p w:rsidR="00CB499B" w:rsidRPr="00CB499B" w:rsidRDefault="00CB499B" w:rsidP="00CB499B">
      <w:pPr>
        <w:spacing w:after="0"/>
        <w:rPr>
          <w:rFonts w:ascii="Arial" w:eastAsia="Arial Unicode MS" w:hAnsi="Arial" w:cs="Arial"/>
          <w:b/>
          <w:sz w:val="24"/>
          <w:szCs w:val="24"/>
        </w:rPr>
      </w:pPr>
    </w:p>
    <w:p w:rsidR="00CB499B" w:rsidRPr="00CB499B" w:rsidRDefault="00CB499B" w:rsidP="00CB499B">
      <w:pPr>
        <w:spacing w:after="0"/>
        <w:rPr>
          <w:rFonts w:ascii="Arial" w:eastAsia="Arial Unicode MS" w:hAnsi="Arial" w:cs="Arial"/>
          <w:b/>
          <w:sz w:val="24"/>
          <w:szCs w:val="24"/>
        </w:rPr>
      </w:pPr>
      <w:r w:rsidRPr="00CB499B">
        <w:rPr>
          <w:rFonts w:ascii="Arial" w:eastAsia="Arial Unicode MS" w:hAnsi="Arial" w:cs="Arial"/>
          <w:b/>
          <w:sz w:val="24"/>
          <w:szCs w:val="24"/>
        </w:rPr>
        <w:t>Facultades: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Participar en el desarrollo de los sistemas que serán implementados, así como supervisar y custodiar los archivos digitales que contengan la información que integra el banco de datos del Ayuntamiento.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Recibir formalmente los sistemas que se implantarán y programar las adquisiciones de material necesario para el procesamiento electrónico.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Verificar y mantener actualizado el inventario de sistemas instalados en los equipos de cómputo, con el fin de poder determinar su actualización de acuerdo a las necesidades de las y los usuarios.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Sistematizar las actividades de cada área, para proporcionar los servicios de procesamiento de datos y soporte técnico.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el reporte mensual informativo, sobre las actividades realizadas en materia de servicios informáticos.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Coordinar y verificar el respaldo de la información relevante que se genere en las diversas áreas del Ayuntamiento.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Supervisar la operación y mantenimiento de los equipos.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Establecer políticas generales para el uso y aprovechamiento de los equipos de cómputo y para la operación de los sistemas de operación.</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Realizar estudios sobre la utilización de los sistemas actuales para detectar las posibles desviaciones en el logro de los objetivos.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Mantener, en óptimas condiciones de funcionalidad y conectividad los equipos de cómputo.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Realizar estudios de vialidad sobre la selección y adquisición de equipo requerido, tanto en software como en hardware de acuerdo a las necesidades de las Direcciones.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actualizar y establecer lineamientos de licenciamiento, control y seguridad para los diferentes sistemas utilizados.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lastRenderedPageBreak/>
        <w:t>Elaborar, actualizar un inventario de software y hardware.</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una bitácora de mantenimiento de equipo.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ejecutar y coordinar programas de capacitación y actualización en materia de informática al personal de las diversas áreas del Ayuntamiento que posean equipo de cómputo.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Elaborar las requisiciones de hardware y software para cada una de las Direcciones de acuerdo a sus necesidades de información.</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Desarrollar y actualizar una base de datos relacionados con la información prioritaria de cada Dirección, como apoyo a la toma de decisiones.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Supervisar los sistemas de información de las dependencias municipales.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Verificar que el equipo de cómputo sea utilizado de acuerdo a las ventajas y oportunidades para la simplificación del trabajo que este ofrezca.</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Investigar y mantener el software y hardware que responda a las necesidades de las Direcciones y demás áreas de trabajo que disponga de equipos de cómputo.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Vigilar que la captura de datos se lleve a cabo de acuerdo con los requisitos y características específicas.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Clasificar, catalogar y resguardar el archivo de memorias electrónicas, discos, que se utilizan para el procesamiento electrónico de datos.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Crear, supervisar y controlar archivo de manuales y documentos diversos relacionados con el manejo del equipo de cómputo utilizado.</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Desarrollar y ejecutar programas de mantenimiento preventivo y correctivo del equipo de cómputo en todas las áreas.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Todas aquellas que le designe el Presidente Municipal y las disposiciones legales vigentes.</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Capacitar a las y los responsables de áreas para que se realice un respaldo de información con periodicidad.</w:t>
      </w:r>
    </w:p>
    <w:p w:rsidR="00CB499B" w:rsidRPr="00CB499B" w:rsidRDefault="00CB499B" w:rsidP="00CB499B">
      <w:pPr>
        <w:numPr>
          <w:ilvl w:val="0"/>
          <w:numId w:val="7"/>
        </w:numPr>
        <w:tabs>
          <w:tab w:val="left" w:pos="1065"/>
        </w:tabs>
        <w:spacing w:after="0" w:line="240" w:lineRule="auto"/>
        <w:contextualSpacing/>
        <w:jc w:val="both"/>
        <w:rPr>
          <w:rFonts w:ascii="Arial" w:eastAsia="Arial Unicode MS" w:hAnsi="Arial" w:cs="Arial"/>
          <w:sz w:val="24"/>
          <w:szCs w:val="24"/>
        </w:rPr>
      </w:pPr>
      <w:r w:rsidRPr="00CB499B">
        <w:rPr>
          <w:rFonts w:ascii="Arial" w:eastAsia="Arial Unicode MS" w:hAnsi="Arial" w:cs="Arial"/>
          <w:sz w:val="24"/>
          <w:szCs w:val="24"/>
        </w:rPr>
        <w:t>Cotizar hardware, software, mobiliario y productos técnicos relacionados al área de informática.</w:t>
      </w:r>
    </w:p>
    <w:p w:rsidR="00CB499B" w:rsidRPr="006A246E" w:rsidRDefault="00CB499B" w:rsidP="006A246E">
      <w:pPr>
        <w:tabs>
          <w:tab w:val="left" w:pos="1065"/>
        </w:tabs>
        <w:spacing w:after="0" w:line="240" w:lineRule="auto"/>
        <w:jc w:val="both"/>
        <w:rPr>
          <w:rFonts w:ascii="Arial" w:eastAsia="Arial Unicode MS" w:hAnsi="Arial" w:cs="Arial"/>
          <w:sz w:val="24"/>
          <w:szCs w:val="24"/>
        </w:rPr>
      </w:pPr>
      <w:bookmarkStart w:id="0" w:name="_GoBack"/>
      <w:bookmarkEnd w:id="0"/>
    </w:p>
    <w:sectPr w:rsidR="00CB499B" w:rsidRPr="006A246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496" w:rsidRDefault="00294496" w:rsidP="006A246E">
      <w:pPr>
        <w:spacing w:after="0" w:line="240" w:lineRule="auto"/>
      </w:pPr>
      <w:r>
        <w:separator/>
      </w:r>
    </w:p>
  </w:endnote>
  <w:endnote w:type="continuationSeparator" w:id="0">
    <w:p w:rsidR="00294496" w:rsidRDefault="00294496" w:rsidP="006A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strangelo Edessa">
    <w:altName w:val="Times New Roman"/>
    <w:panose1 w:val="000000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46E" w:rsidRPr="006A246E" w:rsidRDefault="006A246E" w:rsidP="006A246E">
    <w:pPr>
      <w:tabs>
        <w:tab w:val="left" w:pos="4879"/>
      </w:tabs>
      <w:jc w:val="right"/>
      <w:rPr>
        <w:rFonts w:ascii="Estrangelo Edessa" w:eastAsia="Arial Unicode MS" w:hAnsi="Estrangelo Edessa" w:cs="Estrangelo Edessa" w:hint="eastAsia"/>
        <w:b/>
        <w:color w:val="808080" w:themeColor="background1" w:themeShade="80"/>
      </w:rPr>
    </w:pPr>
    <w:r w:rsidRPr="006A246E">
      <w:rPr>
        <w:rFonts w:eastAsia="Arial Unicode MS" w:cstheme="minorHAnsi"/>
        <w:noProof/>
        <w:sz w:val="21"/>
        <w:szCs w:val="21"/>
        <w:lang w:eastAsia="es-MX"/>
      </w:rPr>
      <mc:AlternateContent>
        <mc:Choice Requires="wps">
          <w:drawing>
            <wp:anchor distT="0" distB="0" distL="114300" distR="114300" simplePos="0" relativeHeight="251659264" behindDoc="0" locked="0" layoutInCell="1" allowOverlap="1" wp14:anchorId="27DF7695" wp14:editId="42D4F6C3">
              <wp:simplePos x="0" y="0"/>
              <wp:positionH relativeFrom="margin">
                <wp:posOffset>-978</wp:posOffset>
              </wp:positionH>
              <wp:positionV relativeFrom="paragraph">
                <wp:posOffset>193572</wp:posOffset>
              </wp:positionV>
              <wp:extent cx="5997146" cy="8856"/>
              <wp:effectExtent l="19050" t="19050" r="22860" b="29845"/>
              <wp:wrapNone/>
              <wp:docPr id="1" name="Conector recto 1"/>
              <wp:cNvGraphicFramePr/>
              <a:graphic xmlns:a="http://schemas.openxmlformats.org/drawingml/2006/main">
                <a:graphicData uri="http://schemas.microsoft.com/office/word/2010/wordprocessingShape">
                  <wps:wsp>
                    <wps:cNvCnPr/>
                    <wps:spPr>
                      <a:xfrm>
                        <a:off x="0" y="0"/>
                        <a:ext cx="5997146" cy="8856"/>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D37E4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5.25pt" to="472.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" strokecolor="#5b9bd5" strokeweight="3pt">
              <v:stroke joinstyle="miter"/>
              <w10:wrap anchorx="margin"/>
            </v:line>
          </w:pict>
        </mc:Fallback>
      </mc:AlternateContent>
    </w:r>
    <w:r>
      <w:rPr>
        <w:rFonts w:ascii="Estrangelo Edessa" w:eastAsia="Arial Unicode MS" w:hAnsi="Estrangelo Edessa" w:cs="Estrangelo Edessa"/>
        <w:b/>
        <w:color w:val="808080" w:themeColor="background1" w:themeShade="80"/>
      </w:rPr>
      <w:t>FACULTADES</w:t>
    </w:r>
    <w:r w:rsidRPr="006A246E">
      <w:rPr>
        <w:rFonts w:ascii="Estrangelo Edessa" w:eastAsia="Arial Unicode MS" w:hAnsi="Estrangelo Edessa" w:cs="Estrangelo Edessa"/>
        <w:b/>
        <w:color w:val="808080" w:themeColor="background1" w:themeShade="80"/>
      </w:rPr>
      <w:tab/>
    </w:r>
    <w:r w:rsidRPr="006A246E">
      <w:rPr>
        <w:rFonts w:ascii="Estrangelo Edessa" w:eastAsia="Arial Unicode MS" w:hAnsi="Estrangelo Edessa" w:cs="Estrangelo Edessa"/>
        <w:b/>
        <w:color w:val="808080" w:themeColor="background1" w:themeShade="80"/>
      </w:rPr>
      <w:tab/>
    </w:r>
    <w:r w:rsidRPr="006A246E">
      <w:rPr>
        <w:rFonts w:ascii="Estrangelo Edessa" w:eastAsia="Arial Unicode MS" w:hAnsi="Estrangelo Edessa" w:cs="Estrangelo Edessa"/>
        <w:b/>
        <w:color w:val="808080" w:themeColor="background1" w:themeShade="80"/>
      </w:rPr>
      <w:tab/>
    </w:r>
    <w:r w:rsidRPr="006A246E">
      <w:rPr>
        <w:rFonts w:ascii="Estrangelo Edessa" w:eastAsia="Arial Unicode MS" w:hAnsi="Estrangelo Edessa" w:cs="Estrangelo Edessa"/>
        <w:b/>
        <w:color w:val="808080" w:themeColor="background1" w:themeShade="80"/>
      </w:rPr>
      <w:tab/>
    </w:r>
    <w:r w:rsidRPr="006A246E">
      <w:rPr>
        <w:rFonts w:ascii="Estrangelo Edessa" w:eastAsia="Arial Unicode MS" w:hAnsi="Estrangelo Edessa" w:cs="Estrangelo Edessa"/>
        <w:b/>
        <w:color w:val="808080" w:themeColor="background1" w:themeShade="80"/>
      </w:rPr>
      <w:tab/>
    </w:r>
    <w:r w:rsidRPr="006A246E">
      <w:rPr>
        <w:rFonts w:ascii="Estrangelo Edessa" w:eastAsia="Arial Unicode MS" w:hAnsi="Estrangelo Edessa" w:cs="Estrangelo Edessa"/>
        <w:b/>
        <w:color w:val="808080" w:themeColor="background1" w:themeShade="80"/>
      </w:rPr>
      <w:tab/>
      <w:t xml:space="preserve">pág. </w:t>
    </w:r>
    <w:r>
      <w:rPr>
        <w:rFonts w:ascii="Estrangelo Edessa" w:eastAsia="Arial Unicode MS" w:hAnsi="Estrangelo Edessa" w:cs="Estrangelo Edessa"/>
        <w:b/>
        <w:color w:val="808080" w:themeColor="background1" w:themeShade="80"/>
      </w:rPr>
      <w:t>1 de 1</w:t>
    </w:r>
  </w:p>
  <w:p w:rsidR="006A246E" w:rsidRPr="006A246E" w:rsidRDefault="006A246E" w:rsidP="006A246E">
    <w:pPr>
      <w:tabs>
        <w:tab w:val="center" w:pos="4419"/>
        <w:tab w:val="right" w:pos="8838"/>
      </w:tabs>
      <w:spacing w:after="0" w:line="240" w:lineRule="auto"/>
      <w:rPr>
        <w:rFonts w:eastAsia="Arial Unicode MS" w:cstheme="minorHAnsi"/>
        <w:sz w:val="21"/>
        <w:szCs w:val="21"/>
      </w:rPr>
    </w:pPr>
    <w:r w:rsidRPr="006A246E">
      <w:rPr>
        <w:rFonts w:eastAsia="Arial Unicode MS" w:cstheme="minorHAnsi"/>
        <w:sz w:val="21"/>
        <w:szCs w:val="21"/>
      </w:rPr>
      <w:t>Av. Reforma s/n, C.P. 94220, Col. Manuel Glez., Zentla, Ver.          Tel. (273) 73 5 30 77, 73 5 30 99, 73 5 31 11</w:t>
    </w:r>
  </w:p>
  <w:p w:rsidR="006A246E" w:rsidRPr="006A246E" w:rsidRDefault="006A246E" w:rsidP="006A246E">
    <w:pPr>
      <w:tabs>
        <w:tab w:val="center" w:pos="4419"/>
        <w:tab w:val="right" w:pos="8838"/>
      </w:tabs>
      <w:spacing w:after="0" w:line="240" w:lineRule="auto"/>
      <w:rPr>
        <w:rFonts w:eastAsia="Arial Unicode MS" w:cstheme="minorHAnsi"/>
        <w:sz w:val="21"/>
        <w:szCs w:val="21"/>
      </w:rPr>
    </w:pPr>
  </w:p>
  <w:p w:rsidR="006A246E" w:rsidRDefault="006A246E">
    <w:pPr>
      <w:pStyle w:val="Encabezad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496" w:rsidRDefault="00294496" w:rsidP="006A246E">
      <w:pPr>
        <w:spacing w:after="0" w:line="240" w:lineRule="auto"/>
      </w:pPr>
      <w:r>
        <w:separator/>
      </w:r>
    </w:p>
  </w:footnote>
  <w:footnote w:type="continuationSeparator" w:id="0">
    <w:p w:rsidR="00294496" w:rsidRDefault="00294496" w:rsidP="006A2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658"/>
      <w:gridCol w:w="2031"/>
    </w:tblGrid>
    <w:tr w:rsidR="006A246E" w:rsidTr="00367F07">
      <w:tc>
        <w:tcPr>
          <w:tcW w:w="1216" w:type="pct"/>
        </w:tcPr>
        <w:p w:rsidR="006A246E" w:rsidRDefault="006A246E" w:rsidP="006A246E">
          <w:pPr>
            <w:contextualSpacing/>
            <w:rPr>
              <w:rFonts w:ascii="Estrangelo Edessa" w:eastAsia="Arial Unicode MS" w:hAnsi="Estrangelo Edessa" w:cs="Estrangelo Edessa" w:hint="eastAsia"/>
            </w:rPr>
          </w:pPr>
          <w:r>
            <w:rPr>
              <w:rFonts w:ascii="Estrangelo Edessa" w:eastAsia="Arial Unicode MS" w:hAnsi="Estrangelo Edessa" w:cs="Estrangelo Edessa" w:hint="eastAsia"/>
              <w:noProof/>
              <w:lang w:eastAsia="es-MX"/>
            </w:rPr>
            <w:drawing>
              <wp:inline distT="0" distB="0" distL="0" distR="0" wp14:anchorId="3F29001A" wp14:editId="22F5C488">
                <wp:extent cx="914400" cy="10123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OFICIAL H AYUNTAMIENTO DE ZENTLA.jpg"/>
                        <pic:cNvPicPr/>
                      </pic:nvPicPr>
                      <pic:blipFill>
                        <a:blip r:embed="rId1">
                          <a:extLst>
                            <a:ext uri="{28A0092B-C50C-407E-A947-70E740481C1C}">
                              <a14:useLocalDpi xmlns:a14="http://schemas.microsoft.com/office/drawing/2010/main" val="0"/>
                            </a:ext>
                          </a:extLst>
                        </a:blip>
                        <a:stretch>
                          <a:fillRect/>
                        </a:stretch>
                      </pic:blipFill>
                      <pic:spPr>
                        <a:xfrm>
                          <a:off x="0" y="0"/>
                          <a:ext cx="950121" cy="1051919"/>
                        </a:xfrm>
                        <a:prstGeom prst="rect">
                          <a:avLst/>
                        </a:prstGeom>
                      </pic:spPr>
                    </pic:pic>
                  </a:graphicData>
                </a:graphic>
              </wp:inline>
            </w:drawing>
          </w:r>
        </w:p>
      </w:tc>
      <w:tc>
        <w:tcPr>
          <w:tcW w:w="2635" w:type="pct"/>
          <w:vAlign w:val="center"/>
        </w:tcPr>
        <w:p w:rsidR="006A246E" w:rsidRPr="000E6C33" w:rsidRDefault="006A246E" w:rsidP="006A246E">
          <w:pPr>
            <w:contextualSpacing/>
            <w:jc w:val="center"/>
            <w:rPr>
              <w:rFonts w:ascii="Estrangelo Edessa" w:eastAsia="Arial Unicode MS" w:hAnsi="Estrangelo Edessa" w:cs="Estrangelo Edessa" w:hint="eastAsia"/>
            </w:rPr>
          </w:pPr>
          <w:r>
            <w:rPr>
              <w:rFonts w:ascii="Estrangelo Edessa" w:eastAsia="Arial Unicode MS" w:hAnsi="Estrangelo Edessa" w:cs="Estrangelo Edessa"/>
            </w:rPr>
            <w:t>H.</w:t>
          </w:r>
          <w:r w:rsidRPr="000E6C33">
            <w:rPr>
              <w:rFonts w:ascii="Estrangelo Edessa" w:eastAsia="Arial Unicode MS" w:hAnsi="Estrangelo Edessa" w:cs="Estrangelo Edessa"/>
            </w:rPr>
            <w:t xml:space="preserve"> AYUNTAMIENTO CONSTITUCIONAL</w:t>
          </w:r>
        </w:p>
        <w:p w:rsidR="006A246E" w:rsidRPr="000E6C33" w:rsidRDefault="006A246E" w:rsidP="006A246E">
          <w:pPr>
            <w:contextualSpacing/>
            <w:jc w:val="center"/>
            <w:rPr>
              <w:rFonts w:ascii="Estrangelo Edessa" w:eastAsia="Arial Unicode MS" w:hAnsi="Estrangelo Edessa" w:cs="Estrangelo Edessa" w:hint="eastAsia"/>
            </w:rPr>
          </w:pPr>
          <w:r w:rsidRPr="000E6C33">
            <w:rPr>
              <w:rFonts w:ascii="Estrangelo Edessa" w:eastAsia="Arial Unicode MS" w:hAnsi="Estrangelo Edessa" w:cs="Estrangelo Edessa"/>
            </w:rPr>
            <w:t>ZENTLA, VER.</w:t>
          </w:r>
        </w:p>
        <w:p w:rsidR="006A246E" w:rsidRDefault="006A246E" w:rsidP="006A246E">
          <w:pPr>
            <w:tabs>
              <w:tab w:val="left" w:pos="7680"/>
            </w:tabs>
            <w:contextualSpacing/>
            <w:jc w:val="center"/>
            <w:rPr>
              <w:rFonts w:ascii="Estrangelo Edessa" w:eastAsia="Arial Unicode MS" w:hAnsi="Estrangelo Edessa" w:cs="Estrangelo Edessa" w:hint="eastAsia"/>
            </w:rPr>
          </w:pPr>
          <w:r>
            <w:rPr>
              <w:rFonts w:ascii="Estrangelo Edessa" w:eastAsia="Arial Unicode MS" w:hAnsi="Estrangelo Edessa" w:cs="Estrangelo Edessa"/>
            </w:rPr>
            <w:t>2022-2025</w:t>
          </w:r>
        </w:p>
      </w:tc>
      <w:tc>
        <w:tcPr>
          <w:tcW w:w="1149" w:type="pct"/>
        </w:tcPr>
        <w:p w:rsidR="006A246E" w:rsidRDefault="006A246E" w:rsidP="006A246E">
          <w:pPr>
            <w:contextualSpacing/>
            <w:jc w:val="right"/>
            <w:rPr>
              <w:rFonts w:ascii="Estrangelo Edessa" w:eastAsia="Arial Unicode MS" w:hAnsi="Estrangelo Edessa" w:cs="Estrangelo Edessa" w:hint="eastAsia"/>
            </w:rPr>
          </w:pPr>
          <w:r>
            <w:rPr>
              <w:rFonts w:ascii="Arial" w:hAnsi="Arial" w:cs="Arial"/>
              <w:noProof/>
              <w:sz w:val="24"/>
              <w:szCs w:val="24"/>
              <w:lang w:eastAsia="es-MX"/>
            </w:rPr>
            <w:drawing>
              <wp:inline distT="0" distB="0" distL="0" distR="0" wp14:anchorId="49815C23" wp14:editId="02B8968A">
                <wp:extent cx="988624" cy="9000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DO DE ZENTLA REDIBUJADO fondo blanc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8624" cy="900000"/>
                        </a:xfrm>
                        <a:prstGeom prst="rect">
                          <a:avLst/>
                        </a:prstGeom>
                      </pic:spPr>
                    </pic:pic>
                  </a:graphicData>
                </a:graphic>
              </wp:inline>
            </w:drawing>
          </w:r>
        </w:p>
      </w:tc>
    </w:tr>
  </w:tbl>
  <w:p w:rsidR="006A246E" w:rsidRDefault="006A24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ECD"/>
    <w:multiLevelType w:val="hybridMultilevel"/>
    <w:tmpl w:val="0D5E3C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10175"/>
    <w:multiLevelType w:val="hybridMultilevel"/>
    <w:tmpl w:val="4E0A6B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2B6283"/>
    <w:multiLevelType w:val="hybridMultilevel"/>
    <w:tmpl w:val="0D5E3C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782F7E"/>
    <w:multiLevelType w:val="hybridMultilevel"/>
    <w:tmpl w:val="4E0A6B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5539F7"/>
    <w:multiLevelType w:val="hybridMultilevel"/>
    <w:tmpl w:val="4E0A6B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C6541F"/>
    <w:multiLevelType w:val="hybridMultilevel"/>
    <w:tmpl w:val="DAEC3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BA1CC6"/>
    <w:multiLevelType w:val="hybridMultilevel"/>
    <w:tmpl w:val="4E0A6B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6E"/>
    <w:rsid w:val="00294496"/>
    <w:rsid w:val="00370C69"/>
    <w:rsid w:val="004C0B62"/>
    <w:rsid w:val="006A246E"/>
    <w:rsid w:val="00B539CE"/>
    <w:rsid w:val="00CB49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FF677-F7ED-4E2E-8422-1F54988C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4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A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246E"/>
    <w:pPr>
      <w:ind w:left="720"/>
      <w:contextualSpacing/>
    </w:pPr>
  </w:style>
  <w:style w:type="paragraph" w:styleId="Encabezado">
    <w:name w:val="header"/>
    <w:basedOn w:val="Normal"/>
    <w:link w:val="EncabezadoCar"/>
    <w:uiPriority w:val="99"/>
    <w:unhideWhenUsed/>
    <w:rsid w:val="006A24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46E"/>
  </w:style>
  <w:style w:type="paragraph" w:styleId="Piedepgina">
    <w:name w:val="footer"/>
    <w:basedOn w:val="Normal"/>
    <w:link w:val="PiedepginaCar"/>
    <w:uiPriority w:val="99"/>
    <w:unhideWhenUsed/>
    <w:rsid w:val="006A24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46E"/>
  </w:style>
  <w:style w:type="table" w:customStyle="1" w:styleId="Tablaconcuadrcula1">
    <w:name w:val="Tabla con cuadrícula1"/>
    <w:basedOn w:val="Tablanormal"/>
    <w:next w:val="Tablaconcuadrcula"/>
    <w:uiPriority w:val="39"/>
    <w:rsid w:val="006A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A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B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B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CB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B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2051</Words>
  <Characters>11286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PRESIDENCIA</dc:creator>
  <cp:keywords/>
  <dc:description/>
  <cp:lastModifiedBy>PRESIDENCIA</cp:lastModifiedBy>
  <cp:revision>1</cp:revision>
  <dcterms:created xsi:type="dcterms:W3CDTF">2023-04-14T17:38:00Z</dcterms:created>
  <dcterms:modified xsi:type="dcterms:W3CDTF">2023-04-14T18:16:00Z</dcterms:modified>
</cp:coreProperties>
</file>